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77C0" w14:textId="01750C1D" w:rsidR="00AC682F" w:rsidRPr="00E379A7" w:rsidRDefault="00E379A7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379A7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VOCE DI CAPITOLATO – CONTROPARETE SU MURATURA ESISTENTE</w:t>
      </w:r>
    </w:p>
    <w:p w14:paraId="51E01397" w14:textId="77777777" w:rsidR="00E379A7" w:rsidRPr="00E379A7" w:rsidRDefault="00E379A7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706EFBE2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Fornitura e posa in opera di controparete a secco costituita da orditura metallica e rivestimento di chiusura composto da pannelli tecnici in legno denominati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,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marcati CE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13986,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classe tecnica P5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312 (pannello per utilizzo come componente strutturale in ambiente umido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classe di servizio 2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secondo UNI EN 1995-1) rivestiti con lastre di cartongesso. Lo spessore complessivo sarà di circa </w:t>
      </w:r>
      <w:r w:rsidRPr="00E379A7">
        <w:rPr>
          <w:rFonts w:cs="Staff Grotesk Light"/>
          <w:color w:val="000000"/>
          <w:kern w:val="0"/>
          <w:sz w:val="22"/>
          <w:szCs w:val="22"/>
        </w:rPr>
        <w:tab/>
        <w:t>75 mm (100).</w:t>
      </w:r>
    </w:p>
    <w:p w14:paraId="6CC1FC98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>L’orditura metallica primaria verrà realizzata con profili a “C” in acciaio zincato a norma UNI EN 14195, spessore mm 0,6 mm, con dimensioni 50 x 50 mm (</w:t>
      </w:r>
      <w:proofErr w:type="gramStart"/>
      <w:r w:rsidRPr="00E379A7">
        <w:rPr>
          <w:rFonts w:cs="Staff Grotesk Light"/>
          <w:color w:val="000000"/>
          <w:kern w:val="0"/>
          <w:sz w:val="22"/>
          <w:szCs w:val="22"/>
        </w:rPr>
        <w:t>75  x</w:t>
      </w:r>
      <w:proofErr w:type="gramEnd"/>
      <w:r w:rsidRPr="00E379A7">
        <w:rPr>
          <w:rFonts w:cs="Staff Grotesk Light"/>
          <w:color w:val="000000"/>
          <w:kern w:val="0"/>
          <w:sz w:val="22"/>
          <w:szCs w:val="22"/>
        </w:rPr>
        <w:t xml:space="preserve"> 50), posti ad interasse 600 mm, isolata dalle strutture perimetrali con nastro monoadesivo dello spessore di 3,5 mm. I profili dovranno essere consolidati alla muratura esistente mediante opportune staffe a “L” poste a distanza massima 70 mm tra di loro (tre per ogni profilo per altezze interpiano fino a 3 m). I profili dovranno essere marcati CE, in riferimento alla specifica norma armonizzata di riferimento. </w:t>
      </w:r>
    </w:p>
    <w:p w14:paraId="690437D8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Il rivestimento dell’orditura sarà realizzato con uno strato di pannelli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, spessore 12 mm, collegati ai montanti e alla cornice perimetrale mediante opportune viti autofilettanti con testa ridotta svasata con frese, filetto a doppio principio ø3,9x22 mm, poste alla distanza massima di 300 mm verticalmente e con passo di 600 mm orizzontalmente, distanza di collegamento della vite dal bordo lastra 10 mm; tra le lastre di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verrà mantenuta una distanza di 2 mm in orizzontale e 5 mm nei bordi perimetrali e una lastra di finitura in vista in gesso rivestito, spessore mm 12,5 marcate CE, posizionate a giunto sfalsati e avvitate direttamente sulla lastra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 Build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attraverso viti fosfatate da cartongesso 3,9 x 25 mm con distanza massima tra di loro di 300 mm verticalmente e con passo 600 mm orizzontalmente, distanza della vite dal bordo lastra 10 mm. </w:t>
      </w:r>
    </w:p>
    <w:p w14:paraId="61DF5792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spacing w:val="-2"/>
          <w:kern w:val="0"/>
          <w:sz w:val="22"/>
          <w:szCs w:val="22"/>
        </w:rPr>
        <w:t>Nell’intercapedine verrà inserito un singolo strato di lana di roccia dello spessore di 40 (60) mm e densità indicativa 70 kg/m</w:t>
      </w:r>
      <w:r w:rsidRPr="00E379A7">
        <w:rPr>
          <w:rFonts w:cs="Staff Grotesk Light"/>
          <w:color w:val="000000"/>
          <w:spacing w:val="-2"/>
          <w:kern w:val="0"/>
          <w:sz w:val="22"/>
          <w:szCs w:val="22"/>
          <w:vertAlign w:val="superscript"/>
        </w:rPr>
        <w:t>3</w:t>
      </w:r>
      <w:r w:rsidRPr="00E379A7">
        <w:rPr>
          <w:rFonts w:cs="Staff Grotesk Light"/>
          <w:color w:val="000000"/>
          <w:spacing w:val="-2"/>
          <w:kern w:val="0"/>
          <w:sz w:val="22"/>
          <w:szCs w:val="22"/>
        </w:rPr>
        <w:t xml:space="preserve">. </w:t>
      </w:r>
    </w:p>
    <w:p w14:paraId="502F70C7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La fornitura in opera sarà comprensiva della stuccatura dei giunti, degli angoli e delle teste delle viti in modo da ottenere una superficie Q2 (Q3 o Q4), pronta per la finitura. </w:t>
      </w:r>
    </w:p>
    <w:p w14:paraId="47065BFB" w14:textId="77777777" w:rsidR="00E379A7" w:rsidRPr="00E379A7" w:rsidRDefault="00E379A7" w:rsidP="00E379A7">
      <w:pPr>
        <w:suppressAutoHyphens/>
        <w:autoSpaceDE w:val="0"/>
        <w:autoSpaceDN w:val="0"/>
        <w:adjustRightInd w:val="0"/>
        <w:spacing w:before="85" w:after="0" w:line="260" w:lineRule="atLeast"/>
        <w:textAlignment w:val="center"/>
        <w:rPr>
          <w:rFonts w:cs="Staff Grotesk Light"/>
          <w:color w:val="000000"/>
          <w:kern w:val="0"/>
          <w:sz w:val="22"/>
          <w:szCs w:val="22"/>
        </w:rPr>
      </w:pPr>
      <w:r w:rsidRPr="00E379A7">
        <w:rPr>
          <w:rFonts w:cs="Staff Grotesk Light"/>
          <w:color w:val="000000"/>
          <w:kern w:val="0"/>
          <w:sz w:val="22"/>
          <w:szCs w:val="22"/>
        </w:rPr>
        <w:t xml:space="preserve">Il sistema costituito da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Superpan Build e una lastra di cartongesso standard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deve essere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 xml:space="preserve">certificato secondo la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br/>
        <w:t>EN 13501-1</w:t>
      </w:r>
      <w:r w:rsidRPr="00E379A7">
        <w:rPr>
          <w:rFonts w:cs="Staff Grotesk Light"/>
          <w:color w:val="000000"/>
          <w:kern w:val="0"/>
          <w:sz w:val="22"/>
          <w:szCs w:val="22"/>
        </w:rPr>
        <w:t xml:space="preserve"> ottenendo una </w:t>
      </w:r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reazione al fuoco in Euroclasse B-s</w:t>
      </w:r>
      <w:proofErr w:type="gramStart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1,d</w:t>
      </w:r>
      <w:proofErr w:type="gramEnd"/>
      <w:r w:rsidRPr="00E379A7">
        <w:rPr>
          <w:rFonts w:cs="Staff Grotesk"/>
          <w:b/>
          <w:bCs/>
          <w:color w:val="000000"/>
          <w:kern w:val="0"/>
          <w:sz w:val="22"/>
          <w:szCs w:val="22"/>
        </w:rPr>
        <w:t>0.</w:t>
      </w:r>
    </w:p>
    <w:p w14:paraId="28C8C49F" w14:textId="5A039648" w:rsidR="00AC682F" w:rsidRPr="00E379A7" w:rsidRDefault="00E379A7" w:rsidP="00E379A7">
      <w:pPr>
        <w:pStyle w:val="OR913LBody"/>
        <w:suppressAutoHyphens/>
        <w:spacing w:before="85"/>
        <w:rPr>
          <w:rFonts w:asciiTheme="minorHAnsi" w:hAnsiTheme="minorHAnsi"/>
          <w:sz w:val="22"/>
          <w:szCs w:val="22"/>
        </w:rPr>
      </w:pP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L’esecuzione del lavoro dovrà seguire ed essere </w:t>
      </w:r>
      <w:r w:rsidRPr="00E379A7">
        <w:rPr>
          <w:rFonts w:asciiTheme="minorHAnsi" w:hAnsiTheme="minorHAnsi"/>
          <w:b/>
          <w:bCs/>
          <w:sz w:val="22"/>
          <w:szCs w:val="22"/>
          <w:lang w:val="it-IT"/>
        </w:rPr>
        <w:t>conforme alle indicazioni della norma UNI 11424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, alle prescrizioni del presente capitolato e di quanto esplicitamente indicato dal produttore del pannello </w:t>
      </w:r>
      <w:r w:rsidRPr="00E379A7">
        <w:rPr>
          <w:rFonts w:asciiTheme="minorHAnsi" w:hAnsiTheme="minorHAnsi"/>
          <w:b/>
          <w:bCs/>
          <w:sz w:val="22"/>
          <w:szCs w:val="22"/>
          <w:lang w:val="it-IT"/>
        </w:rPr>
        <w:t>Superpan Build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>, che dovrà essere dotato di marcatura CE, DoP, rispondenza ai requisiti CAM, Carb 2, valore di trazione superficiale 0,2 N/mm</w:t>
      </w:r>
      <w:r w:rsidRPr="00E379A7">
        <w:rPr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E379A7">
        <w:rPr>
          <w:rFonts w:asciiTheme="minorHAnsi" w:hAnsiTheme="minorHAnsi" w:cs="Staff Grotesk Light"/>
          <w:sz w:val="22"/>
          <w:szCs w:val="22"/>
          <w:lang w:val="it-IT"/>
        </w:rPr>
        <w:t xml:space="preserve"> e possibilità di fornire prove tecniche di carico a trazione longitudinale viti legno singole, per le misure 4,5 – 6 – 10 mm (spessore pannello 12 mm).</w:t>
      </w:r>
    </w:p>
    <w:sectPr w:rsidR="00AC682F" w:rsidRPr="00E37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taff Grotesk">
    <w:panose1 w:val="020B0503030403020204"/>
    <w:charset w:val="4D"/>
    <w:family w:val="swiss"/>
    <w:notTrueType/>
    <w:pitch w:val="variable"/>
    <w:sig w:usb0="00000007" w:usb1="00000001" w:usb2="00000000" w:usb3="00000000" w:csb0="00000093" w:csb1="00000000"/>
  </w:font>
  <w:font w:name="Staff Grotesk Light">
    <w:panose1 w:val="020B0403030403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F"/>
    <w:rsid w:val="00AC682F"/>
    <w:rsid w:val="00CF5FE7"/>
    <w:rsid w:val="00E379A7"/>
    <w:rsid w:val="00E4415A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3940"/>
  <w15:chartTrackingRefBased/>
  <w15:docId w15:val="{63637669-8529-6D48-A95D-781E3B8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8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8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8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8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82F"/>
    <w:rPr>
      <w:b/>
      <w:bCs/>
      <w:smallCaps/>
      <w:color w:val="0F4761" w:themeColor="accent1" w:themeShade="BF"/>
      <w:spacing w:val="5"/>
    </w:rPr>
  </w:style>
  <w:style w:type="paragraph" w:customStyle="1" w:styleId="OR913LBody">
    <w:name w:val="O_R_9_13_L (Body)"/>
    <w:basedOn w:val="Normale"/>
    <w:uiPriority w:val="99"/>
    <w:rsid w:val="00AC682F"/>
    <w:pPr>
      <w:autoSpaceDE w:val="0"/>
      <w:autoSpaceDN w:val="0"/>
      <w:adjustRightInd w:val="0"/>
      <w:spacing w:after="0" w:line="260" w:lineRule="atLeast"/>
      <w:textAlignment w:val="center"/>
    </w:pPr>
    <w:rPr>
      <w:rFonts w:ascii="Staff Grotesk" w:hAnsi="Staff Grotesk" w:cs="Staff Grotesk"/>
      <w:color w:val="000000"/>
      <w:kern w:val="0"/>
      <w:sz w:val="18"/>
      <w:szCs w:val="18"/>
      <w:lang w:val="en-US"/>
    </w:rPr>
  </w:style>
  <w:style w:type="character" w:customStyle="1" w:styleId="BlackText">
    <w:name w:val="BlackText"/>
    <w:uiPriority w:val="99"/>
    <w:rsid w:val="00AC68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Casali</dc:creator>
  <cp:keywords/>
  <dc:description/>
  <cp:lastModifiedBy>Stefano Casali</cp:lastModifiedBy>
  <cp:revision>3</cp:revision>
  <dcterms:created xsi:type="dcterms:W3CDTF">2025-04-24T09:47:00Z</dcterms:created>
  <dcterms:modified xsi:type="dcterms:W3CDTF">2025-04-24T09:51:00Z</dcterms:modified>
</cp:coreProperties>
</file>